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7FBD" w14:textId="512B074A" w:rsidR="00C946C5" w:rsidRPr="00C946C5" w:rsidRDefault="00C946C5" w:rsidP="00C8447B">
      <w:pPr>
        <w:jc w:val="both"/>
        <w:rPr>
          <w:b/>
          <w:bCs/>
          <w:sz w:val="22"/>
          <w:szCs w:val="22"/>
        </w:rPr>
      </w:pPr>
      <w:r w:rsidRPr="00C946C5">
        <w:rPr>
          <w:b/>
          <w:bCs/>
          <w:sz w:val="22"/>
          <w:szCs w:val="22"/>
        </w:rPr>
        <w:t xml:space="preserve">Ceny energií v České republice v roce 2025: detailní pohled a trendy ve světle </w:t>
      </w:r>
      <w:proofErr w:type="spellStart"/>
      <w:r w:rsidRPr="00C946C5">
        <w:rPr>
          <w:b/>
          <w:bCs/>
          <w:sz w:val="22"/>
          <w:szCs w:val="22"/>
        </w:rPr>
        <w:t>Eurostatu</w:t>
      </w:r>
      <w:proofErr w:type="spellEnd"/>
      <w:r w:rsidRPr="00C946C5">
        <w:rPr>
          <w:b/>
          <w:bCs/>
          <w:sz w:val="22"/>
          <w:szCs w:val="22"/>
        </w:rPr>
        <w:t xml:space="preserve"> a </w:t>
      </w:r>
      <w:r w:rsidR="00D74C53">
        <w:rPr>
          <w:b/>
          <w:bCs/>
          <w:sz w:val="22"/>
          <w:szCs w:val="22"/>
        </w:rPr>
        <w:t xml:space="preserve">analýzy </w:t>
      </w:r>
      <w:r w:rsidRPr="00C946C5">
        <w:rPr>
          <w:b/>
          <w:bCs/>
          <w:sz w:val="22"/>
          <w:szCs w:val="22"/>
        </w:rPr>
        <w:t>ENA</w:t>
      </w:r>
    </w:p>
    <w:p w14:paraId="36693A3B" w14:textId="636EC30B" w:rsidR="00C946C5" w:rsidRPr="00C946C5" w:rsidRDefault="00C946C5" w:rsidP="54C21AE1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Rok 2025 přináší v oblasti cen energií pro domácnosti v České republice několik zajímavých kontrastů a trendů, které stojí za to podrobně rozebrat. Data z </w:t>
      </w:r>
      <w:hyperlink r:id="rId8">
        <w:proofErr w:type="spellStart"/>
        <w:r w:rsidRPr="54C21AE1">
          <w:rPr>
            <w:rStyle w:val="Hypertextovodkaz"/>
            <w:sz w:val="22"/>
            <w:szCs w:val="22"/>
          </w:rPr>
          <w:t>Eurostatu</w:t>
        </w:r>
        <w:proofErr w:type="spellEnd"/>
      </w:hyperlink>
      <w:r w:rsidRPr="54C21AE1">
        <w:rPr>
          <w:sz w:val="22"/>
          <w:szCs w:val="22"/>
        </w:rPr>
        <w:t xml:space="preserve"> patří k nejcitovanějším statistikám na evropské úrovni a ukazují, že Česká republika stále patří mezi země s nejvyššími cenami elektřiny v rámci Evropské unie. Zvláště při přepočtu na standard kupní síly (PPS) je ČR suverénně </w:t>
      </w:r>
      <w:hyperlink r:id="rId9">
        <w:r w:rsidRPr="54C21AE1">
          <w:rPr>
            <w:rStyle w:val="Hypertextovodkaz"/>
            <w:sz w:val="22"/>
            <w:szCs w:val="22"/>
          </w:rPr>
          <w:t>na prvním místě</w:t>
        </w:r>
      </w:hyperlink>
      <w:r w:rsidRPr="54C21AE1">
        <w:rPr>
          <w:sz w:val="22"/>
          <w:szCs w:val="22"/>
        </w:rPr>
        <w:t xml:space="preserve"> s hodnotou přes 39 PPS za 100 kWh, což je výrazně nad průměrem EU. </w:t>
      </w:r>
      <w:r w:rsidR="1E71D598" w:rsidRPr="54C21AE1">
        <w:rPr>
          <w:sz w:val="22"/>
          <w:szCs w:val="22"/>
        </w:rPr>
        <w:t xml:space="preserve">Tento ukazatel již ale není pouze o energetice, ale </w:t>
      </w:r>
      <w:r w:rsidR="6D651D5B" w:rsidRPr="54C21AE1">
        <w:rPr>
          <w:sz w:val="22"/>
          <w:szCs w:val="22"/>
        </w:rPr>
        <w:t>vázaný i na životní úroveň, respektive kupní sílu obyvatel v jednotlivých zemích</w:t>
      </w:r>
      <w:r w:rsidR="1E71D598" w:rsidRPr="54C21AE1">
        <w:rPr>
          <w:sz w:val="22"/>
          <w:szCs w:val="22"/>
        </w:rPr>
        <w:t>.</w:t>
      </w:r>
      <w:r w:rsidR="1668D512" w:rsidRPr="54C21AE1">
        <w:rPr>
          <w:sz w:val="22"/>
          <w:szCs w:val="22"/>
        </w:rPr>
        <w:t xml:space="preserve"> </w:t>
      </w:r>
    </w:p>
    <w:p w14:paraId="2CCE32E1" w14:textId="0A0137BF" w:rsidR="00C946C5" w:rsidRPr="00C946C5" w:rsidRDefault="00C946C5" w:rsidP="00C8447B">
      <w:pPr>
        <w:jc w:val="both"/>
        <w:rPr>
          <w:sz w:val="22"/>
          <w:szCs w:val="22"/>
        </w:rPr>
      </w:pPr>
      <w:proofErr w:type="spellStart"/>
      <w:r w:rsidRPr="66884E9A">
        <w:rPr>
          <w:sz w:val="22"/>
          <w:szCs w:val="22"/>
        </w:rPr>
        <w:t>Eurostat</w:t>
      </w:r>
      <w:proofErr w:type="spellEnd"/>
      <w:r w:rsidRPr="66884E9A">
        <w:rPr>
          <w:sz w:val="22"/>
          <w:szCs w:val="22"/>
        </w:rPr>
        <w:t xml:space="preserve"> uvádí nominální průměrnou cenu elektřiny za 1. pololetí 2025 </w:t>
      </w:r>
      <w:r w:rsidR="53BD12CD" w:rsidRPr="66884E9A">
        <w:rPr>
          <w:sz w:val="22"/>
          <w:szCs w:val="22"/>
        </w:rPr>
        <w:t>pro domácnost</w:t>
      </w:r>
      <w:r w:rsidR="0B614567" w:rsidRPr="66884E9A">
        <w:rPr>
          <w:sz w:val="22"/>
          <w:szCs w:val="22"/>
        </w:rPr>
        <w:t>i</w:t>
      </w:r>
      <w:r w:rsidR="53BD12CD" w:rsidRPr="66884E9A">
        <w:rPr>
          <w:sz w:val="22"/>
          <w:szCs w:val="22"/>
        </w:rPr>
        <w:t xml:space="preserve"> </w:t>
      </w:r>
      <w:r w:rsidRPr="66884E9A">
        <w:rPr>
          <w:sz w:val="22"/>
          <w:szCs w:val="22"/>
        </w:rPr>
        <w:t>v</w:t>
      </w:r>
      <w:r w:rsidR="00112290" w:rsidRPr="66884E9A">
        <w:rPr>
          <w:sz w:val="22"/>
          <w:szCs w:val="22"/>
        </w:rPr>
        <w:t> </w:t>
      </w:r>
      <w:r w:rsidRPr="66884E9A">
        <w:rPr>
          <w:sz w:val="22"/>
          <w:szCs w:val="22"/>
        </w:rPr>
        <w:t>ČR</w:t>
      </w:r>
      <w:r w:rsidR="00112290" w:rsidRPr="66884E9A">
        <w:rPr>
          <w:sz w:val="22"/>
          <w:szCs w:val="22"/>
        </w:rPr>
        <w:t xml:space="preserve"> v spotřebním pásmu </w:t>
      </w:r>
      <w:r w:rsidR="00254B85" w:rsidRPr="66884E9A">
        <w:rPr>
          <w:sz w:val="22"/>
          <w:szCs w:val="22"/>
        </w:rPr>
        <w:t xml:space="preserve">2,5-5 </w:t>
      </w:r>
      <w:proofErr w:type="spellStart"/>
      <w:r w:rsidR="00254B85" w:rsidRPr="66884E9A">
        <w:rPr>
          <w:sz w:val="22"/>
          <w:szCs w:val="22"/>
        </w:rPr>
        <w:t>MWh</w:t>
      </w:r>
      <w:proofErr w:type="spellEnd"/>
      <w:r w:rsidRPr="66884E9A">
        <w:rPr>
          <w:sz w:val="22"/>
          <w:szCs w:val="22"/>
        </w:rPr>
        <w:t xml:space="preserve"> kolem </w:t>
      </w:r>
      <w:r w:rsidR="00254B85" w:rsidRPr="66884E9A">
        <w:rPr>
          <w:sz w:val="22"/>
          <w:szCs w:val="22"/>
        </w:rPr>
        <w:t>31</w:t>
      </w:r>
      <w:r w:rsidRPr="66884E9A">
        <w:rPr>
          <w:sz w:val="22"/>
          <w:szCs w:val="22"/>
        </w:rPr>
        <w:t>,7</w:t>
      </w:r>
      <w:r w:rsidR="00254B85" w:rsidRPr="66884E9A">
        <w:rPr>
          <w:sz w:val="22"/>
          <w:szCs w:val="22"/>
        </w:rPr>
        <w:t>9</w:t>
      </w:r>
      <w:r w:rsidRPr="66884E9A">
        <w:rPr>
          <w:sz w:val="22"/>
          <w:szCs w:val="22"/>
        </w:rPr>
        <w:t xml:space="preserve"> € za 100 kWh, přičemž nejdražší elektrická energie byla v Německu, Belgii a Dánsku.</w:t>
      </w:r>
    </w:p>
    <w:p w14:paraId="4C90868A" w14:textId="3A09A498" w:rsidR="00D74C53" w:rsidRPr="001E1B0F" w:rsidRDefault="00971FCA" w:rsidP="00C8447B">
      <w:pPr>
        <w:jc w:val="both"/>
        <w:rPr>
          <w:b/>
          <w:bCs/>
          <w:sz w:val="22"/>
          <w:szCs w:val="22"/>
        </w:rPr>
      </w:pPr>
      <w:r w:rsidRPr="001E1B0F">
        <w:rPr>
          <w:b/>
          <w:bCs/>
          <w:sz w:val="22"/>
          <w:szCs w:val="22"/>
        </w:rPr>
        <w:t>Ceny elektřiny pro domácnosti v první polovině roku 2025 pro pásmo spotřeby</w:t>
      </w:r>
      <w:r w:rsidR="001E1B0F" w:rsidRPr="001E1B0F">
        <w:rPr>
          <w:b/>
          <w:bCs/>
          <w:sz w:val="22"/>
          <w:szCs w:val="22"/>
        </w:rPr>
        <w:t xml:space="preserve"> 2,5-5 </w:t>
      </w:r>
      <w:proofErr w:type="spellStart"/>
      <w:r w:rsidR="001E1B0F" w:rsidRPr="001E1B0F">
        <w:rPr>
          <w:b/>
          <w:bCs/>
          <w:sz w:val="22"/>
          <w:szCs w:val="22"/>
        </w:rPr>
        <w:t>MWh</w:t>
      </w:r>
      <w:proofErr w:type="spellEnd"/>
      <w:r w:rsidR="001E1B0F" w:rsidRPr="001E1B0F">
        <w:rPr>
          <w:b/>
          <w:bCs/>
          <w:sz w:val="22"/>
          <w:szCs w:val="22"/>
        </w:rPr>
        <w:t xml:space="preserve"> </w:t>
      </w:r>
      <w:r w:rsidRPr="001E1B0F">
        <w:rPr>
          <w:b/>
          <w:bCs/>
          <w:sz w:val="22"/>
          <w:szCs w:val="22"/>
        </w:rPr>
        <w:t>(EUR/kWh)</w:t>
      </w:r>
      <w:r w:rsidR="00D74C53" w:rsidRPr="001E1B0F">
        <w:rPr>
          <w:b/>
          <w:bCs/>
          <w:sz w:val="22"/>
          <w:szCs w:val="22"/>
        </w:rPr>
        <w:t xml:space="preserve"> </w:t>
      </w:r>
    </w:p>
    <w:p w14:paraId="33038FF9" w14:textId="47BA1668" w:rsidR="00D74C53" w:rsidRDefault="006369C1" w:rsidP="00C8447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6DDCFAB" wp14:editId="366C9FA5">
            <wp:extent cx="5760720" cy="2626360"/>
            <wp:effectExtent l="0" t="0" r="0" b="2540"/>
            <wp:docPr id="1600660514" name="Obrázek 1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60514" name="Obrázek 1" descr="Obsah obrázku text, snímek obrazovky, Vykreslený graf, řada/pruh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71C5" w14:textId="043753EA" w:rsidR="004E358E" w:rsidRDefault="004E358E" w:rsidP="00C844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Zdroj: </w:t>
      </w:r>
      <w:hyperlink r:id="rId11" w:history="1">
        <w:proofErr w:type="spellStart"/>
        <w:r w:rsidR="00FF0F1A" w:rsidRPr="00FF0F1A">
          <w:rPr>
            <w:rStyle w:val="Hypertextovodkaz"/>
            <w:sz w:val="22"/>
            <w:szCs w:val="22"/>
          </w:rPr>
          <w:t>Eurostat</w:t>
        </w:r>
        <w:proofErr w:type="spellEnd"/>
      </w:hyperlink>
    </w:p>
    <w:p w14:paraId="16696F5D" w14:textId="10530C0E" w:rsidR="00D74C53" w:rsidRDefault="00C946C5" w:rsidP="00C8447B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U cen zemního plynu </w:t>
      </w:r>
      <w:proofErr w:type="spellStart"/>
      <w:r w:rsidRPr="54C21AE1">
        <w:rPr>
          <w:sz w:val="22"/>
          <w:szCs w:val="22"/>
        </w:rPr>
        <w:t>Eurostat</w:t>
      </w:r>
      <w:proofErr w:type="spellEnd"/>
      <w:r w:rsidRPr="54C21AE1">
        <w:rPr>
          <w:sz w:val="22"/>
          <w:szCs w:val="22"/>
        </w:rPr>
        <w:t xml:space="preserve"> hlásí mírný pokles, který se vrací k předkrizovým sezónním vzorcům. Nejvyšší ceny mají domácnosti ve Švédsku, Nizozemsku a Dánsku, kdežto ČR patří </w:t>
      </w:r>
      <w:hyperlink r:id="rId12">
        <w:r w:rsidRPr="54C21AE1">
          <w:rPr>
            <w:rStyle w:val="Hypertextovodkaz"/>
            <w:sz w:val="22"/>
            <w:szCs w:val="22"/>
          </w:rPr>
          <w:t>spíše k průměru</w:t>
        </w:r>
      </w:hyperlink>
      <w:r w:rsidRPr="54C21AE1">
        <w:rPr>
          <w:sz w:val="22"/>
          <w:szCs w:val="22"/>
        </w:rPr>
        <w:t>, s cenou kolem 1</w:t>
      </w:r>
      <w:r w:rsidR="00D74C53" w:rsidRPr="54C21AE1">
        <w:rPr>
          <w:sz w:val="22"/>
          <w:szCs w:val="22"/>
        </w:rPr>
        <w:t>0</w:t>
      </w:r>
      <w:r w:rsidRPr="54C21AE1">
        <w:rPr>
          <w:sz w:val="22"/>
          <w:szCs w:val="22"/>
        </w:rPr>
        <w:t xml:space="preserve"> € za 100 kWh. Na opačném konci spektra </w:t>
      </w:r>
      <w:r w:rsidR="07896946" w:rsidRPr="54C21AE1">
        <w:rPr>
          <w:sz w:val="22"/>
          <w:szCs w:val="22"/>
        </w:rPr>
        <w:t>je</w:t>
      </w:r>
      <w:r w:rsidRPr="54C21AE1">
        <w:rPr>
          <w:sz w:val="22"/>
          <w:szCs w:val="22"/>
        </w:rPr>
        <w:t xml:space="preserve"> např.  Maďarsk</w:t>
      </w:r>
      <w:r w:rsidR="7E7322E7" w:rsidRPr="54C21AE1">
        <w:rPr>
          <w:sz w:val="22"/>
          <w:szCs w:val="22"/>
        </w:rPr>
        <w:t>o</w:t>
      </w:r>
      <w:r w:rsidRPr="54C21AE1">
        <w:rPr>
          <w:sz w:val="22"/>
          <w:szCs w:val="22"/>
        </w:rPr>
        <w:t xml:space="preserve"> či Chorvatsk</w:t>
      </w:r>
      <w:r w:rsidR="3DD62DC4" w:rsidRPr="54C21AE1">
        <w:rPr>
          <w:sz w:val="22"/>
          <w:szCs w:val="22"/>
        </w:rPr>
        <w:t>o</w:t>
      </w:r>
      <w:r w:rsidRPr="54C21AE1">
        <w:rPr>
          <w:sz w:val="22"/>
          <w:szCs w:val="22"/>
        </w:rPr>
        <w:t>.</w:t>
      </w:r>
    </w:p>
    <w:p w14:paraId="2AE229FE" w14:textId="77777777" w:rsidR="00FF0F1A" w:rsidRDefault="00FF0F1A" w:rsidP="00C8447B">
      <w:pPr>
        <w:jc w:val="both"/>
        <w:rPr>
          <w:sz w:val="22"/>
          <w:szCs w:val="22"/>
        </w:rPr>
      </w:pPr>
    </w:p>
    <w:p w14:paraId="46264894" w14:textId="77777777" w:rsidR="00FF0F1A" w:rsidRDefault="00FF0F1A" w:rsidP="00C8447B">
      <w:pPr>
        <w:jc w:val="both"/>
        <w:rPr>
          <w:sz w:val="22"/>
          <w:szCs w:val="22"/>
        </w:rPr>
      </w:pPr>
    </w:p>
    <w:p w14:paraId="68131FAC" w14:textId="77777777" w:rsidR="009460CA" w:rsidRDefault="009460CA" w:rsidP="00C8447B">
      <w:pPr>
        <w:jc w:val="both"/>
        <w:rPr>
          <w:sz w:val="22"/>
          <w:szCs w:val="22"/>
        </w:rPr>
      </w:pPr>
    </w:p>
    <w:p w14:paraId="3AA22D86" w14:textId="77777777" w:rsidR="00FF0F1A" w:rsidRDefault="00FF0F1A" w:rsidP="00C8447B">
      <w:pPr>
        <w:jc w:val="both"/>
        <w:rPr>
          <w:sz w:val="22"/>
          <w:szCs w:val="22"/>
        </w:rPr>
      </w:pPr>
    </w:p>
    <w:p w14:paraId="2E058D01" w14:textId="77777777" w:rsidR="00FF0F1A" w:rsidRDefault="00FF0F1A" w:rsidP="00C8447B">
      <w:pPr>
        <w:jc w:val="both"/>
        <w:rPr>
          <w:sz w:val="22"/>
          <w:szCs w:val="22"/>
        </w:rPr>
      </w:pPr>
    </w:p>
    <w:p w14:paraId="098F6463" w14:textId="4E831A99" w:rsidR="00D74C53" w:rsidRDefault="00AA3966" w:rsidP="00C8447B">
      <w:pPr>
        <w:jc w:val="both"/>
        <w:rPr>
          <w:sz w:val="22"/>
          <w:szCs w:val="22"/>
        </w:rPr>
      </w:pPr>
      <w:r w:rsidRPr="001E1B0F">
        <w:rPr>
          <w:b/>
          <w:bCs/>
          <w:sz w:val="22"/>
          <w:szCs w:val="22"/>
        </w:rPr>
        <w:lastRenderedPageBreak/>
        <w:t xml:space="preserve">Ceny </w:t>
      </w:r>
      <w:r>
        <w:rPr>
          <w:b/>
          <w:bCs/>
          <w:sz w:val="22"/>
          <w:szCs w:val="22"/>
        </w:rPr>
        <w:t xml:space="preserve">zemního plynu </w:t>
      </w:r>
      <w:r w:rsidRPr="001E1B0F">
        <w:rPr>
          <w:b/>
          <w:bCs/>
          <w:sz w:val="22"/>
          <w:szCs w:val="22"/>
        </w:rPr>
        <w:t xml:space="preserve">pro domácnosti v první polovině roku 2025 pro pásmo spotřeby </w:t>
      </w:r>
      <w:r w:rsidR="00A96ED4">
        <w:rPr>
          <w:b/>
          <w:bCs/>
          <w:sz w:val="22"/>
          <w:szCs w:val="22"/>
        </w:rPr>
        <w:t>20</w:t>
      </w:r>
      <w:r w:rsidRPr="001E1B0F">
        <w:rPr>
          <w:b/>
          <w:bCs/>
          <w:sz w:val="22"/>
          <w:szCs w:val="22"/>
        </w:rPr>
        <w:t>-</w:t>
      </w:r>
      <w:r w:rsidR="00A96ED4">
        <w:rPr>
          <w:b/>
          <w:bCs/>
          <w:sz w:val="22"/>
          <w:szCs w:val="22"/>
        </w:rPr>
        <w:t xml:space="preserve">200 GJ </w:t>
      </w:r>
      <w:r w:rsidRPr="001E1B0F">
        <w:rPr>
          <w:b/>
          <w:bCs/>
          <w:sz w:val="22"/>
          <w:szCs w:val="22"/>
        </w:rPr>
        <w:t>(EUR/kWh)</w:t>
      </w:r>
    </w:p>
    <w:p w14:paraId="4BF5EF60" w14:textId="277F91A8" w:rsidR="00D74C53" w:rsidRPr="00C946C5" w:rsidRDefault="00DA7BAA" w:rsidP="00C8447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403A136" wp14:editId="57829AD3">
            <wp:extent cx="5760720" cy="2505075"/>
            <wp:effectExtent l="0" t="0" r="0" b="9525"/>
            <wp:docPr id="1996777706" name="Obrázek 2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77706" name="Obrázek 2" descr="Obsah obrázku text, snímek obrazovky, Vykreslený graf, řada/pruh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AE30" w14:textId="3F2DB4EC" w:rsidR="00DA7BAA" w:rsidRPr="00DA7BAA" w:rsidRDefault="00DA7BAA" w:rsidP="00C844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Zdroj: </w:t>
      </w:r>
      <w:hyperlink r:id="rId14" w:history="1">
        <w:proofErr w:type="spellStart"/>
        <w:r w:rsidRPr="00FF0F1A">
          <w:rPr>
            <w:rStyle w:val="Hypertextovodkaz"/>
            <w:sz w:val="22"/>
            <w:szCs w:val="22"/>
          </w:rPr>
          <w:t>Eurostat</w:t>
        </w:r>
        <w:proofErr w:type="spellEnd"/>
      </w:hyperlink>
    </w:p>
    <w:p w14:paraId="7EF11BB7" w14:textId="4B4E8803" w:rsidR="00C946C5" w:rsidRPr="00C946C5" w:rsidRDefault="0095697C" w:rsidP="00C8447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Analýza společnosti </w:t>
      </w:r>
      <w:r w:rsidR="00C946C5" w:rsidRPr="00C946C5">
        <w:rPr>
          <w:b/>
          <w:bCs/>
          <w:sz w:val="22"/>
          <w:szCs w:val="22"/>
        </w:rPr>
        <w:t>ENA ukazuje optimističtější obraz</w:t>
      </w:r>
    </w:p>
    <w:p w14:paraId="02C1371E" w14:textId="5D022111" w:rsidR="00C946C5" w:rsidRPr="00C8447B" w:rsidRDefault="00C946C5" w:rsidP="00C8447B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Rozdíl oproti </w:t>
      </w:r>
      <w:proofErr w:type="spellStart"/>
      <w:r w:rsidRPr="54C21AE1">
        <w:rPr>
          <w:sz w:val="22"/>
          <w:szCs w:val="22"/>
        </w:rPr>
        <w:t>Eurostatu</w:t>
      </w:r>
      <w:proofErr w:type="spellEnd"/>
      <w:r w:rsidRPr="54C21AE1">
        <w:rPr>
          <w:sz w:val="22"/>
          <w:szCs w:val="22"/>
        </w:rPr>
        <w:t xml:space="preserve"> přináší analýza ENA, která se opírá o aktuální tržní nabídky více než 900 dodavatelů</w:t>
      </w:r>
      <w:r w:rsidR="00F44AE4">
        <w:rPr>
          <w:sz w:val="22"/>
          <w:szCs w:val="22"/>
        </w:rPr>
        <w:t xml:space="preserve"> napříč</w:t>
      </w:r>
      <w:r w:rsidR="00953E8F">
        <w:rPr>
          <w:sz w:val="22"/>
          <w:szCs w:val="22"/>
        </w:rPr>
        <w:t xml:space="preserve"> 12 vybranými zeměmi </w:t>
      </w:r>
      <w:r w:rsidR="00F44AE4">
        <w:rPr>
          <w:sz w:val="22"/>
          <w:szCs w:val="22"/>
        </w:rPr>
        <w:t>Evrop</w:t>
      </w:r>
      <w:r w:rsidR="00953E8F">
        <w:rPr>
          <w:sz w:val="22"/>
          <w:szCs w:val="22"/>
        </w:rPr>
        <w:t>y</w:t>
      </w:r>
      <w:r w:rsidR="00F44AE4">
        <w:rPr>
          <w:sz w:val="22"/>
          <w:szCs w:val="22"/>
        </w:rPr>
        <w:t xml:space="preserve"> </w:t>
      </w:r>
      <w:r w:rsidRPr="54C21AE1">
        <w:rPr>
          <w:sz w:val="22"/>
          <w:szCs w:val="22"/>
        </w:rPr>
        <w:t xml:space="preserve">včetně ČR. Podle ENA mohou české domácnosti dosáhnout výrazně výhodnějších cen elektřiny i plynu díky tomu, že na trhu jsou dostupné konkurenční produkty a tarify. Průměrná cena elektřiny </w:t>
      </w:r>
      <w:r w:rsidR="35F7D6C8" w:rsidRPr="54C21AE1">
        <w:rPr>
          <w:sz w:val="22"/>
          <w:szCs w:val="22"/>
        </w:rPr>
        <w:t xml:space="preserve">pro domácnosti </w:t>
      </w:r>
      <w:r w:rsidRPr="54C21AE1">
        <w:rPr>
          <w:sz w:val="22"/>
          <w:szCs w:val="22"/>
        </w:rPr>
        <w:t>podle ENA je k roku 2025 přibližně 2</w:t>
      </w:r>
      <w:r w:rsidR="655A09A5" w:rsidRPr="54C21AE1">
        <w:rPr>
          <w:sz w:val="22"/>
          <w:szCs w:val="22"/>
        </w:rPr>
        <w:t>7</w:t>
      </w:r>
      <w:r w:rsidRPr="54C21AE1">
        <w:rPr>
          <w:sz w:val="22"/>
          <w:szCs w:val="22"/>
        </w:rPr>
        <w:t xml:space="preserve"> € za 100 kWh, což je o několik procent </w:t>
      </w:r>
      <w:r w:rsidR="00C8447B" w:rsidRPr="54C21AE1">
        <w:rPr>
          <w:sz w:val="22"/>
          <w:szCs w:val="22"/>
        </w:rPr>
        <w:t>méně,</w:t>
      </w:r>
      <w:r w:rsidRPr="54C21AE1">
        <w:rPr>
          <w:sz w:val="22"/>
          <w:szCs w:val="22"/>
        </w:rPr>
        <w:t xml:space="preserve"> než uvádí </w:t>
      </w:r>
      <w:proofErr w:type="spellStart"/>
      <w:r w:rsidRPr="54C21AE1">
        <w:rPr>
          <w:sz w:val="22"/>
          <w:szCs w:val="22"/>
        </w:rPr>
        <w:t>Eurostat</w:t>
      </w:r>
      <w:proofErr w:type="spellEnd"/>
      <w:r w:rsidRPr="54C21AE1">
        <w:rPr>
          <w:sz w:val="22"/>
          <w:szCs w:val="22"/>
        </w:rPr>
        <w:t xml:space="preserve">. U plynu jsou ceny ENA také mírně nižší, kolem </w:t>
      </w:r>
      <w:r w:rsidR="59819AE3" w:rsidRPr="54C21AE1">
        <w:rPr>
          <w:sz w:val="22"/>
          <w:szCs w:val="22"/>
        </w:rPr>
        <w:t>8,7</w:t>
      </w:r>
      <w:r w:rsidRPr="54C21AE1">
        <w:rPr>
          <w:sz w:val="22"/>
          <w:szCs w:val="22"/>
        </w:rPr>
        <w:t xml:space="preserve"> € za 100 kWh.</w:t>
      </w:r>
    </w:p>
    <w:tbl>
      <w:tblPr>
        <w:tblW w:w="5044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395"/>
        <w:gridCol w:w="3933"/>
      </w:tblGrid>
      <w:tr w:rsidR="00C8447B" w:rsidRPr="00C8447B" w14:paraId="38DAD957" w14:textId="77777777" w:rsidTr="54C21AE1">
        <w:trPr>
          <w:tblHeader/>
          <w:tblCellSpacing w:w="15" w:type="dxa"/>
        </w:trPr>
        <w:tc>
          <w:tcPr>
            <w:tcW w:w="96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57526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Aspekt</w:t>
            </w:r>
          </w:p>
        </w:tc>
        <w:tc>
          <w:tcPr>
            <w:tcW w:w="18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C1BC8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ENA</w:t>
            </w:r>
          </w:p>
        </w:tc>
        <w:tc>
          <w:tcPr>
            <w:tcW w:w="212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28D7E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proofErr w:type="spellStart"/>
            <w:r w:rsidRPr="004C2AB1">
              <w:rPr>
                <w:b/>
                <w:bCs/>
                <w:color w:val="63BA80"/>
                <w:sz w:val="22"/>
                <w:szCs w:val="22"/>
              </w:rPr>
              <w:t>Eurostat</w:t>
            </w:r>
            <w:proofErr w:type="spellEnd"/>
          </w:p>
        </w:tc>
      </w:tr>
      <w:tr w:rsidR="00C8447B" w:rsidRPr="00C8447B" w14:paraId="50EEF38F" w14:textId="77777777" w:rsidTr="54C21AE1">
        <w:trPr>
          <w:tblCellSpacing w:w="15" w:type="dxa"/>
        </w:trPr>
        <w:tc>
          <w:tcPr>
            <w:tcW w:w="96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ED0ABC8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Typ dat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65AF4F1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Aktuální tržní nabídky více než 900 dodavatelů</w:t>
            </w:r>
          </w:p>
        </w:tc>
        <w:tc>
          <w:tcPr>
            <w:tcW w:w="212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A73A0DC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Statistika skutečných plateb domácností</w:t>
            </w:r>
          </w:p>
        </w:tc>
      </w:tr>
      <w:tr w:rsidR="00C8447B" w:rsidRPr="00C8447B" w14:paraId="57A4349F" w14:textId="77777777" w:rsidTr="54C21AE1">
        <w:trPr>
          <w:tblCellSpacing w:w="15" w:type="dxa"/>
        </w:trPr>
        <w:tc>
          <w:tcPr>
            <w:tcW w:w="96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7A029468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Metodika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5004435B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Srovnává aktuální ceny, které si zákazníci mohou sjednat při nové smlouvě</w:t>
            </w:r>
          </w:p>
        </w:tc>
        <w:tc>
          <w:tcPr>
            <w:tcW w:w="212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E98D159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Zaznamenává průměrné ceny včetně fixních a starých tarifů dostupných v daném období</w:t>
            </w:r>
          </w:p>
        </w:tc>
      </w:tr>
      <w:tr w:rsidR="00C8447B" w:rsidRPr="00C8447B" w14:paraId="2B34261E" w14:textId="77777777" w:rsidTr="54C21AE1">
        <w:trPr>
          <w:tblCellSpacing w:w="15" w:type="dxa"/>
        </w:trPr>
        <w:tc>
          <w:tcPr>
            <w:tcW w:w="96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5183AA2D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Pokrytí trhu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3246833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Trh aktivních nabídek (větší flexibilita, více produktů)</w:t>
            </w:r>
          </w:p>
        </w:tc>
        <w:tc>
          <w:tcPr>
            <w:tcW w:w="212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6BE3CEC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Celkový průměr všech domácností, včetně těch konzervativních</w:t>
            </w:r>
          </w:p>
        </w:tc>
      </w:tr>
      <w:tr w:rsidR="00C8447B" w:rsidRPr="00C8447B" w14:paraId="46BF33D1" w14:textId="77777777" w:rsidTr="54C21AE1">
        <w:trPr>
          <w:tblCellSpacing w:w="15" w:type="dxa"/>
        </w:trPr>
        <w:tc>
          <w:tcPr>
            <w:tcW w:w="96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002B38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0AA71475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Povaha dat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6C891E3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Dynamická a aktuální, vhodná pro hodnocení trhu a možností optimalizace</w:t>
            </w:r>
          </w:p>
        </w:tc>
        <w:tc>
          <w:tcPr>
            <w:tcW w:w="212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179192F3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Statický průměr, který ukazuje reálné náklady domácností</w:t>
            </w:r>
          </w:p>
        </w:tc>
      </w:tr>
      <w:tr w:rsidR="00C8447B" w:rsidRPr="00C8447B" w14:paraId="6729DCAC" w14:textId="77777777" w:rsidTr="54C21AE1">
        <w:trPr>
          <w:tblCellSpacing w:w="15" w:type="dxa"/>
        </w:trPr>
        <w:tc>
          <w:tcPr>
            <w:tcW w:w="9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002B38"/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3033B3F7" w14:textId="77777777" w:rsidR="00C8447B" w:rsidRPr="004C2AB1" w:rsidRDefault="00C8447B" w:rsidP="00C8447B">
            <w:pPr>
              <w:spacing w:after="0"/>
              <w:jc w:val="center"/>
              <w:rPr>
                <w:b/>
                <w:bCs/>
                <w:color w:val="63BA80"/>
                <w:sz w:val="22"/>
                <w:szCs w:val="22"/>
              </w:rPr>
            </w:pPr>
            <w:r w:rsidRPr="004C2AB1">
              <w:rPr>
                <w:b/>
                <w:bCs/>
                <w:color w:val="63BA80"/>
                <w:sz w:val="22"/>
                <w:szCs w:val="22"/>
              </w:rPr>
              <w:t>Význam pro zákazníky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A8BD8CE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Ukazuje možnosti úspor a výhod tržních nabídek</w:t>
            </w:r>
          </w:p>
        </w:tc>
        <w:tc>
          <w:tcPr>
            <w:tcW w:w="21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72093B03" w14:textId="77777777" w:rsidR="00C8447B" w:rsidRPr="004C2AB1" w:rsidRDefault="00C8447B" w:rsidP="00C8447B">
            <w:pPr>
              <w:spacing w:after="0"/>
              <w:jc w:val="center"/>
              <w:rPr>
                <w:color w:val="63BA80"/>
                <w:sz w:val="22"/>
                <w:szCs w:val="22"/>
              </w:rPr>
            </w:pPr>
            <w:r w:rsidRPr="004C2AB1">
              <w:rPr>
                <w:color w:val="63BA80"/>
                <w:sz w:val="22"/>
                <w:szCs w:val="22"/>
              </w:rPr>
              <w:t>Ukazuje aktuální reálné náklady, které zákazníci v průměru platí</w:t>
            </w:r>
          </w:p>
        </w:tc>
      </w:tr>
    </w:tbl>
    <w:p w14:paraId="546C20B0" w14:textId="1DDC56DD" w:rsidR="00C946C5" w:rsidRPr="00C946C5" w:rsidRDefault="00C946C5" w:rsidP="54C21AE1">
      <w:pPr>
        <w:jc w:val="both"/>
        <w:rPr>
          <w:b/>
          <w:bCs/>
          <w:sz w:val="22"/>
          <w:szCs w:val="22"/>
        </w:rPr>
      </w:pPr>
      <w:r w:rsidRPr="54C21AE1">
        <w:rPr>
          <w:b/>
          <w:bCs/>
          <w:sz w:val="22"/>
          <w:szCs w:val="22"/>
        </w:rPr>
        <w:lastRenderedPageBreak/>
        <w:t>Struktura cen a poplatky v ČR</w:t>
      </w:r>
    </w:p>
    <w:p w14:paraId="532EEC6F" w14:textId="7E058881" w:rsidR="00C946C5" w:rsidRPr="00C946C5" w:rsidRDefault="00C946C5" w:rsidP="00C8447B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Analýzy také odkrývají složitou strukturu cen elektřiny a plynu v Česku. Cena elektřiny se skládá z obchodní složky, regulovaných poplatků za distribuci, přenos, systémové služby a daní včetně DPH. </w:t>
      </w:r>
      <w:r w:rsidR="0095697C" w:rsidRPr="54C21AE1">
        <w:rPr>
          <w:sz w:val="22"/>
          <w:szCs w:val="22"/>
        </w:rPr>
        <w:t>„</w:t>
      </w:r>
      <w:r w:rsidRPr="54C21AE1">
        <w:rPr>
          <w:i/>
          <w:iCs/>
          <w:sz w:val="22"/>
          <w:szCs w:val="22"/>
        </w:rPr>
        <w:t xml:space="preserve">I když obchodní složka mírně klesá díky tlaku na snižování cen na trzích, regulované poplatky naopak rostou, což je odrazem nutnosti </w:t>
      </w:r>
      <w:r w:rsidR="0095697C" w:rsidRPr="54C21AE1">
        <w:rPr>
          <w:i/>
          <w:iCs/>
          <w:sz w:val="22"/>
          <w:szCs w:val="22"/>
        </w:rPr>
        <w:t>posílit a modernizovat přenosovou a distribuční soustavu k zajištění spolehlivé, flexibilní a bezpečné elektroenergetické a plynárenské infrastruktury připravené na dekarbonizaci a poptávku ze strany zákazníků</w:t>
      </w:r>
      <w:r w:rsidR="0095697C" w:rsidRPr="54C21AE1">
        <w:rPr>
          <w:sz w:val="22"/>
          <w:szCs w:val="22"/>
        </w:rPr>
        <w:t>“ říká Bohuslav Čížek, ředitel pro legislativu Svazu energetiky ČR</w:t>
      </w:r>
      <w:r w:rsidRPr="54C21AE1">
        <w:rPr>
          <w:sz w:val="22"/>
          <w:szCs w:val="22"/>
        </w:rPr>
        <w:t>. Podobný případ je u zemního plynu, kde regulované platby tvoří významnou část celkové ceny a jejich podíl mírně narostl.</w:t>
      </w:r>
    </w:p>
    <w:p w14:paraId="4610C7D3" w14:textId="5C0608E1" w:rsidR="581F85DE" w:rsidRDefault="581F85DE" w:rsidP="54C21AE1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Zároveň ani </w:t>
      </w:r>
      <w:r w:rsidR="2246FB82" w:rsidRPr="54C21AE1">
        <w:rPr>
          <w:sz w:val="22"/>
          <w:szCs w:val="22"/>
        </w:rPr>
        <w:t xml:space="preserve">mezinárodní </w:t>
      </w:r>
      <w:r w:rsidRPr="54C21AE1">
        <w:rPr>
          <w:sz w:val="22"/>
          <w:szCs w:val="22"/>
        </w:rPr>
        <w:t>statistiky nejsou</w:t>
      </w:r>
      <w:r w:rsidR="1B185D44" w:rsidRPr="54C21AE1">
        <w:rPr>
          <w:sz w:val="22"/>
          <w:szCs w:val="22"/>
        </w:rPr>
        <w:t xml:space="preserve"> vždy tak</w:t>
      </w:r>
      <w:r w:rsidRPr="54C21AE1">
        <w:rPr>
          <w:sz w:val="22"/>
          <w:szCs w:val="22"/>
        </w:rPr>
        <w:t xml:space="preserve"> černobílé. </w:t>
      </w:r>
      <w:r w:rsidR="274F683D" w:rsidRPr="54C21AE1">
        <w:rPr>
          <w:sz w:val="22"/>
          <w:szCs w:val="22"/>
        </w:rPr>
        <w:t>Kromě již zmíněné složité struktury ceny</w:t>
      </w:r>
      <w:r w:rsidRPr="54C21AE1">
        <w:rPr>
          <w:sz w:val="22"/>
          <w:szCs w:val="22"/>
        </w:rPr>
        <w:t xml:space="preserve"> </w:t>
      </w:r>
      <w:r w:rsidR="62D1D579" w:rsidRPr="54C21AE1">
        <w:rPr>
          <w:sz w:val="22"/>
          <w:szCs w:val="22"/>
        </w:rPr>
        <w:t>ovlivňuje srovnatelnost a de facto i skutečnou finální cenu pro konkrétního zákazníka nastavení reg</w:t>
      </w:r>
      <w:r w:rsidRPr="54C21AE1">
        <w:rPr>
          <w:sz w:val="22"/>
          <w:szCs w:val="22"/>
        </w:rPr>
        <w:t xml:space="preserve">ulovaných složek pro různé kategorie odběrných míst, </w:t>
      </w:r>
      <w:r w:rsidR="5E162D61" w:rsidRPr="54C21AE1">
        <w:rPr>
          <w:sz w:val="22"/>
          <w:szCs w:val="22"/>
        </w:rPr>
        <w:t>možnost</w:t>
      </w:r>
      <w:r w:rsidRPr="54C21AE1">
        <w:rPr>
          <w:sz w:val="22"/>
          <w:szCs w:val="22"/>
        </w:rPr>
        <w:t xml:space="preserve"> sjednat si různé výhodné tarify</w:t>
      </w:r>
      <w:r w:rsidR="7864F0B0" w:rsidRPr="54C21AE1">
        <w:rPr>
          <w:sz w:val="22"/>
          <w:szCs w:val="22"/>
        </w:rPr>
        <w:t xml:space="preserve"> či politika státu odrážející se mj. v podmínkách či </w:t>
      </w:r>
      <w:r w:rsidRPr="54C21AE1">
        <w:rPr>
          <w:sz w:val="22"/>
          <w:szCs w:val="22"/>
        </w:rPr>
        <w:t>rozdělení nákladů na potřebné investice</w:t>
      </w:r>
      <w:r w:rsidR="07AECF7D" w:rsidRPr="54C21AE1">
        <w:rPr>
          <w:sz w:val="22"/>
          <w:szCs w:val="22"/>
        </w:rPr>
        <w:t>.</w:t>
      </w:r>
    </w:p>
    <w:p w14:paraId="3F62C9F0" w14:textId="1A149A9A" w:rsidR="00C946C5" w:rsidRPr="00C946C5" w:rsidRDefault="00C946C5" w:rsidP="00C8447B">
      <w:pPr>
        <w:jc w:val="both"/>
        <w:rPr>
          <w:b/>
          <w:bCs/>
          <w:sz w:val="22"/>
          <w:szCs w:val="22"/>
        </w:rPr>
      </w:pPr>
      <w:r w:rsidRPr="00C946C5">
        <w:rPr>
          <w:b/>
          <w:bCs/>
          <w:sz w:val="22"/>
          <w:szCs w:val="22"/>
        </w:rPr>
        <w:t>Trendy pro rok 2025 a výhled do budoucna</w:t>
      </w:r>
    </w:p>
    <w:p w14:paraId="349D25F0" w14:textId="13CF99D4" w:rsidR="00285422" w:rsidRDefault="00C946C5" w:rsidP="00285422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 xml:space="preserve">Po náročných letech spojených s energetickou krizí se ceny v roce 2025 </w:t>
      </w:r>
      <w:r w:rsidR="3619D20B" w:rsidRPr="54C21AE1">
        <w:rPr>
          <w:sz w:val="22"/>
          <w:szCs w:val="22"/>
        </w:rPr>
        <w:t xml:space="preserve">do jisté míry </w:t>
      </w:r>
      <w:r w:rsidRPr="54C21AE1">
        <w:rPr>
          <w:sz w:val="22"/>
          <w:szCs w:val="22"/>
        </w:rPr>
        <w:t xml:space="preserve">stabilizují. </w:t>
      </w:r>
      <w:r w:rsidR="00285422" w:rsidRPr="54C21AE1">
        <w:rPr>
          <w:sz w:val="22"/>
          <w:szCs w:val="22"/>
        </w:rPr>
        <w:t xml:space="preserve"> Analýza ENA ukazuje, že klíčovým prvkem tohoto období je pokračující snižování cen obchodní složky elektřiny, zatímco regulované složky, které zahrnují distribuci, přenos, systémové služby a daně, vykazují růst. „</w:t>
      </w:r>
      <w:r w:rsidR="002A5E62" w:rsidRPr="54C21AE1">
        <w:rPr>
          <w:i/>
          <w:iCs/>
          <w:sz w:val="22"/>
          <w:szCs w:val="22"/>
        </w:rPr>
        <w:t>Celkové koncové ceny elektřiny placené českými domácnostmi byly i po zrušení cenových stropů v roce 2024 přibližně průměrné, resp. mírně podprůměrné. Pokles komodity převážil nad růstem regulované složky,</w:t>
      </w:r>
      <w:r w:rsidR="00285422" w:rsidRPr="54C21AE1">
        <w:rPr>
          <w:sz w:val="22"/>
          <w:szCs w:val="22"/>
        </w:rPr>
        <w:t>“ přibližuje ředitel společnosti ENA</w:t>
      </w:r>
      <w:r w:rsidR="00907365">
        <w:rPr>
          <w:sz w:val="22"/>
          <w:szCs w:val="22"/>
        </w:rPr>
        <w:t xml:space="preserve"> a předseda Sekce </w:t>
      </w:r>
      <w:r w:rsidR="00C752D4">
        <w:rPr>
          <w:sz w:val="22"/>
          <w:szCs w:val="22"/>
        </w:rPr>
        <w:t>SEČR</w:t>
      </w:r>
      <w:r w:rsidR="00C752D4" w:rsidRPr="00C752D4">
        <w:t xml:space="preserve"> </w:t>
      </w:r>
      <w:r w:rsidR="00C752D4">
        <w:rPr>
          <w:sz w:val="22"/>
          <w:szCs w:val="22"/>
        </w:rPr>
        <w:t>pro o</w:t>
      </w:r>
      <w:r w:rsidR="00C752D4" w:rsidRPr="00C752D4">
        <w:rPr>
          <w:sz w:val="22"/>
          <w:szCs w:val="22"/>
        </w:rPr>
        <w:t>bchodní činnosti a vztahy se zákazníky</w:t>
      </w:r>
      <w:r w:rsidR="00C752D4">
        <w:rPr>
          <w:sz w:val="22"/>
          <w:szCs w:val="22"/>
        </w:rPr>
        <w:t xml:space="preserve"> </w:t>
      </w:r>
      <w:r w:rsidR="00285422" w:rsidRPr="54C21AE1">
        <w:rPr>
          <w:sz w:val="22"/>
          <w:szCs w:val="22"/>
        </w:rPr>
        <w:t xml:space="preserve">Jiří </w:t>
      </w:r>
      <w:proofErr w:type="spellStart"/>
      <w:r w:rsidR="00285422" w:rsidRPr="54C21AE1">
        <w:rPr>
          <w:sz w:val="22"/>
          <w:szCs w:val="22"/>
        </w:rPr>
        <w:t>Gavor</w:t>
      </w:r>
      <w:proofErr w:type="spellEnd"/>
      <w:r w:rsidR="00285422" w:rsidRPr="54C21AE1">
        <w:rPr>
          <w:sz w:val="22"/>
          <w:szCs w:val="22"/>
        </w:rPr>
        <w:t xml:space="preserve">. </w:t>
      </w:r>
    </w:p>
    <w:p w14:paraId="7A7555D0" w14:textId="45A17735" w:rsidR="004308E0" w:rsidRDefault="00FC35E7" w:rsidP="00285422">
      <w:pPr>
        <w:jc w:val="both"/>
        <w:rPr>
          <w:sz w:val="22"/>
          <w:szCs w:val="22"/>
        </w:rPr>
      </w:pPr>
      <w:r w:rsidRPr="00663111">
        <w:rPr>
          <w:b/>
          <w:bCs/>
          <w:sz w:val="22"/>
          <w:szCs w:val="22"/>
        </w:rPr>
        <w:t>Srovnání koncové ceny elektřiny pro domácnosti</w:t>
      </w:r>
      <w:r w:rsidR="00663111" w:rsidRPr="00663111">
        <w:rPr>
          <w:b/>
          <w:bCs/>
          <w:sz w:val="22"/>
          <w:szCs w:val="22"/>
        </w:rPr>
        <w:t xml:space="preserve"> </w:t>
      </w:r>
      <w:r w:rsidRPr="00663111">
        <w:rPr>
          <w:b/>
          <w:bCs/>
          <w:sz w:val="22"/>
          <w:szCs w:val="22"/>
        </w:rPr>
        <w:t>2025</w:t>
      </w:r>
      <w:r w:rsidR="00663111" w:rsidRPr="00663111">
        <w:rPr>
          <w:b/>
          <w:bCs/>
          <w:sz w:val="22"/>
          <w:szCs w:val="22"/>
        </w:rPr>
        <w:t xml:space="preserve"> – pásmo spotřeb</w:t>
      </w:r>
      <w:r w:rsidR="00195185">
        <w:rPr>
          <w:b/>
          <w:bCs/>
          <w:sz w:val="22"/>
          <w:szCs w:val="22"/>
        </w:rPr>
        <w:t>y</w:t>
      </w:r>
      <w:r w:rsidR="00663111" w:rsidRPr="00663111">
        <w:rPr>
          <w:b/>
          <w:bCs/>
          <w:sz w:val="22"/>
          <w:szCs w:val="22"/>
        </w:rPr>
        <w:t xml:space="preserve"> 2,5-5 </w:t>
      </w:r>
      <w:proofErr w:type="spellStart"/>
      <w:r w:rsidR="00663111" w:rsidRPr="00663111">
        <w:rPr>
          <w:b/>
          <w:bCs/>
          <w:sz w:val="22"/>
          <w:szCs w:val="22"/>
        </w:rPr>
        <w:t>MWh</w:t>
      </w:r>
      <w:proofErr w:type="spellEnd"/>
      <w:r w:rsidR="004308E0">
        <w:rPr>
          <w:noProof/>
        </w:rPr>
        <w:drawing>
          <wp:inline distT="0" distB="0" distL="0" distR="0" wp14:anchorId="3705E925" wp14:editId="5780754A">
            <wp:extent cx="5760085" cy="2887023"/>
            <wp:effectExtent l="0" t="0" r="0" b="8890"/>
            <wp:docPr id="49" name="Obrázek 49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Obrázek 49" descr="Obsah obrázku text, snímek obrazovky, diagram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670" cy="290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5CCAA" w14:textId="2A9CFF71" w:rsidR="002A5E62" w:rsidRPr="00285422" w:rsidRDefault="004308E0" w:rsidP="00285422">
      <w:pPr>
        <w:jc w:val="both"/>
        <w:rPr>
          <w:sz w:val="22"/>
          <w:szCs w:val="22"/>
        </w:rPr>
      </w:pPr>
      <w:r>
        <w:rPr>
          <w:sz w:val="22"/>
          <w:szCs w:val="22"/>
        </w:rPr>
        <w:t>Zdroj: Analýza ENA</w:t>
      </w:r>
      <w:r w:rsidR="004E6234">
        <w:rPr>
          <w:sz w:val="22"/>
          <w:szCs w:val="22"/>
        </w:rPr>
        <w:t>.</w:t>
      </w:r>
    </w:p>
    <w:p w14:paraId="1895C373" w14:textId="77777777" w:rsidR="009460CA" w:rsidRDefault="009460CA" w:rsidP="00C8447B">
      <w:pPr>
        <w:jc w:val="both"/>
        <w:rPr>
          <w:sz w:val="22"/>
          <w:szCs w:val="22"/>
        </w:rPr>
      </w:pPr>
    </w:p>
    <w:p w14:paraId="739CE8D4" w14:textId="544B5330" w:rsidR="002A5E62" w:rsidRDefault="002A5E62" w:rsidP="00C8447B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lastRenderedPageBreak/>
        <w:t>Z hlediska celkových koncových cen zemního plynu platí české domácnosti v roce 2025 podprůměrné platby, což je oproti předešlému roku další zlepšení (v r.</w:t>
      </w:r>
      <w:r w:rsidR="313C16F5" w:rsidRPr="54C21AE1">
        <w:rPr>
          <w:sz w:val="22"/>
          <w:szCs w:val="22"/>
        </w:rPr>
        <w:t xml:space="preserve"> </w:t>
      </w:r>
      <w:r w:rsidRPr="54C21AE1">
        <w:rPr>
          <w:sz w:val="22"/>
          <w:szCs w:val="22"/>
        </w:rPr>
        <w:t>2024 minus 10</w:t>
      </w:r>
      <w:r w:rsidR="7A72AE96" w:rsidRPr="54C21AE1">
        <w:rPr>
          <w:sz w:val="22"/>
          <w:szCs w:val="22"/>
        </w:rPr>
        <w:t xml:space="preserve"> </w:t>
      </w:r>
      <w:r w:rsidRPr="54C21AE1">
        <w:rPr>
          <w:sz w:val="22"/>
          <w:szCs w:val="22"/>
        </w:rPr>
        <w:t>%, v r.</w:t>
      </w:r>
      <w:r w:rsidR="4EB43752" w:rsidRPr="54C21AE1">
        <w:rPr>
          <w:sz w:val="22"/>
          <w:szCs w:val="22"/>
        </w:rPr>
        <w:t xml:space="preserve"> </w:t>
      </w:r>
      <w:r w:rsidRPr="54C21AE1">
        <w:rPr>
          <w:sz w:val="22"/>
          <w:szCs w:val="22"/>
        </w:rPr>
        <w:t>2025 minus 12</w:t>
      </w:r>
      <w:r w:rsidR="22153408" w:rsidRPr="54C21AE1">
        <w:rPr>
          <w:sz w:val="22"/>
          <w:szCs w:val="22"/>
        </w:rPr>
        <w:t xml:space="preserve"> </w:t>
      </w:r>
      <w:r w:rsidRPr="54C21AE1">
        <w:rPr>
          <w:sz w:val="22"/>
          <w:szCs w:val="22"/>
        </w:rPr>
        <w:t>%). Mírné zlepšení nastalo navzdory nárůstu regulované složky ceny a je důsledkem zejména nízké dodatečné zátěže ceny zemního plynu dalšími poplatky a daněmi.</w:t>
      </w:r>
    </w:p>
    <w:p w14:paraId="4BE9E323" w14:textId="1EF00DD3" w:rsidR="00C946C5" w:rsidRPr="00C946C5" w:rsidRDefault="00195185" w:rsidP="71BC556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Srovnání koncové ceny zemního plynu </w:t>
      </w:r>
      <w:r w:rsidRPr="001E1B0F">
        <w:rPr>
          <w:b/>
          <w:bCs/>
          <w:sz w:val="22"/>
          <w:szCs w:val="22"/>
        </w:rPr>
        <w:t xml:space="preserve">pro domácnosti 2025 pro pásmo spotřeby </w:t>
      </w:r>
      <w:r>
        <w:rPr>
          <w:b/>
          <w:bCs/>
          <w:sz w:val="22"/>
          <w:szCs w:val="22"/>
        </w:rPr>
        <w:t>20</w:t>
      </w:r>
      <w:r w:rsidRPr="001E1B0F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200 GJ</w:t>
      </w:r>
      <w:r w:rsidRPr="00206087">
        <w:rPr>
          <w:sz w:val="22"/>
          <w:szCs w:val="22"/>
        </w:rPr>
        <w:t xml:space="preserve"> </w:t>
      </w:r>
      <w:r w:rsidR="25EDF581">
        <w:rPr>
          <w:noProof/>
        </w:rPr>
        <w:drawing>
          <wp:inline distT="0" distB="0" distL="0" distR="0" wp14:anchorId="27DDC69D" wp14:editId="1DA779A1">
            <wp:extent cx="5761219" cy="2962913"/>
            <wp:effectExtent l="0" t="0" r="0" b="0"/>
            <wp:docPr id="3845847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8476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29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5E62" w:rsidRPr="71BC5560">
        <w:rPr>
          <w:sz w:val="22"/>
          <w:szCs w:val="22"/>
        </w:rPr>
        <w:t>Zdroj: Analýza ENA.</w:t>
      </w:r>
    </w:p>
    <w:p w14:paraId="7D20BC45" w14:textId="092D6251" w:rsidR="00510E14" w:rsidRDefault="004308E0" w:rsidP="00C8447B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>Podle výkonného ředitele Svazu energetiky ČR Josefa Kotrby</w:t>
      </w:r>
      <w:r w:rsidR="00510E14" w:rsidRPr="54C21AE1">
        <w:rPr>
          <w:sz w:val="22"/>
          <w:szCs w:val="22"/>
        </w:rPr>
        <w:t xml:space="preserve"> se </w:t>
      </w:r>
      <w:r w:rsidRPr="54C21AE1">
        <w:rPr>
          <w:sz w:val="22"/>
          <w:szCs w:val="22"/>
        </w:rPr>
        <w:t>„</w:t>
      </w:r>
      <w:r w:rsidR="00510E14" w:rsidRPr="54C21AE1">
        <w:rPr>
          <w:i/>
          <w:iCs/>
          <w:sz w:val="22"/>
          <w:szCs w:val="22"/>
        </w:rPr>
        <w:t xml:space="preserve">výhled do dalších let nemůže soustředit pouze na samotné ceny, ale </w:t>
      </w:r>
      <w:r w:rsidR="0D46C205" w:rsidRPr="54C21AE1">
        <w:rPr>
          <w:i/>
          <w:iCs/>
          <w:sz w:val="22"/>
          <w:szCs w:val="22"/>
        </w:rPr>
        <w:t xml:space="preserve">zároveň </w:t>
      </w:r>
      <w:r w:rsidR="00510E14" w:rsidRPr="54C21AE1">
        <w:rPr>
          <w:i/>
          <w:iCs/>
          <w:sz w:val="22"/>
          <w:szCs w:val="22"/>
        </w:rPr>
        <w:t>i na kvalitu energetického systému a jeho schopnost reagovat na nové výzvy.“</w:t>
      </w:r>
      <w:r w:rsidR="00510E14" w:rsidRPr="54C21AE1">
        <w:rPr>
          <w:sz w:val="22"/>
          <w:szCs w:val="22"/>
        </w:rPr>
        <w:t xml:space="preserve"> Mezi klíčové priority Svazu energetiky ČR v této oblasti patří zajištění dlouhodobě stabilního a předvídatelného regulatorního rámce, který umožní efektivní a motivované investice do modernizace infrastruktury a podpory diverzity energetických zdrojů. Stabilní investiční prostředí je nezbytné nejen pro zachování konkurenceschopnosti trhu s energiemi, ale také pro naplnění náročných cílů dekarbonizace a bezpečnosti dodávek.</w:t>
      </w:r>
    </w:p>
    <w:p w14:paraId="160033AC" w14:textId="0653748B" w:rsidR="00510E14" w:rsidRPr="00510E14" w:rsidRDefault="00510E14" w:rsidP="00510E14">
      <w:pPr>
        <w:jc w:val="both"/>
        <w:rPr>
          <w:sz w:val="22"/>
          <w:szCs w:val="22"/>
        </w:rPr>
      </w:pPr>
      <w:r w:rsidRPr="54C21AE1">
        <w:rPr>
          <w:sz w:val="22"/>
          <w:szCs w:val="22"/>
        </w:rPr>
        <w:t>„</w:t>
      </w:r>
      <w:r w:rsidRPr="54C21AE1">
        <w:rPr>
          <w:i/>
          <w:iCs/>
          <w:sz w:val="22"/>
          <w:szCs w:val="22"/>
        </w:rPr>
        <w:t>Svaz energetiky zároveň zdůrazňuje potřebu dokončení revize tarifního systém</w:t>
      </w:r>
      <w:r w:rsidR="006E79BD">
        <w:rPr>
          <w:i/>
          <w:iCs/>
          <w:sz w:val="22"/>
          <w:szCs w:val="22"/>
        </w:rPr>
        <w:t>u</w:t>
      </w:r>
      <w:r w:rsidRPr="54C21AE1">
        <w:rPr>
          <w:i/>
          <w:iCs/>
          <w:sz w:val="22"/>
          <w:szCs w:val="22"/>
        </w:rPr>
        <w:t>, která má za úkol motivovat k efektivní spotřebě a podpořit rozvoj chytrých sítí a flexibilních služeb. Optimalizace tarifů by měla vést ke spravedlivějším a transparentnějším cenám, které spotřebitelé budou schopni lépe ovlivnit svým chováním</w:t>
      </w:r>
      <w:r w:rsidR="254CCC70" w:rsidRPr="54C21AE1">
        <w:rPr>
          <w:i/>
          <w:iCs/>
          <w:sz w:val="22"/>
          <w:szCs w:val="22"/>
        </w:rPr>
        <w:t>. I to je jeden z aspektů, jak pomoci snižovat náklady a tím ceny energie pro zákazníky</w:t>
      </w:r>
      <w:r w:rsidRPr="54C21AE1">
        <w:rPr>
          <w:sz w:val="22"/>
          <w:szCs w:val="22"/>
        </w:rPr>
        <w:t>“ doplňuje Josef Kotrba.</w:t>
      </w:r>
    </w:p>
    <w:p w14:paraId="2B297E6A" w14:textId="79C3FD12" w:rsidR="00510E14" w:rsidRPr="00510E14" w:rsidRDefault="00510E14" w:rsidP="00510E14">
      <w:pPr>
        <w:jc w:val="both"/>
        <w:rPr>
          <w:sz w:val="22"/>
          <w:szCs w:val="22"/>
        </w:rPr>
      </w:pPr>
      <w:r w:rsidRPr="00510E14">
        <w:rPr>
          <w:sz w:val="22"/>
          <w:szCs w:val="22"/>
        </w:rPr>
        <w:t>V kontextu těchto priorit je zřejmé, že transformace energetiky bude vyžadovat velké úsilí všech zainteresovaných stran. Svaz energetiky ČR proto i nadále nabízí odbornou podporu, konzultace a úzkou spolupráci se státní správou, průmyslem a akademickou sférou s cílem zajistit cenově dostupnou, bezpečnou a udržitelnou energetiku pro všechny domácnosti i firmy</w:t>
      </w:r>
      <w:r>
        <w:rPr>
          <w:sz w:val="22"/>
          <w:szCs w:val="22"/>
        </w:rPr>
        <w:t>.</w:t>
      </w:r>
    </w:p>
    <w:p w14:paraId="13E0C609" w14:textId="77777777" w:rsidR="008F7BDF" w:rsidRPr="00C8447B" w:rsidRDefault="008F7BDF" w:rsidP="00C8447B">
      <w:pPr>
        <w:jc w:val="both"/>
        <w:rPr>
          <w:sz w:val="22"/>
          <w:szCs w:val="22"/>
        </w:rPr>
      </w:pPr>
    </w:p>
    <w:sectPr w:rsidR="008F7BDF" w:rsidRPr="00C8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5DE2"/>
    <w:multiLevelType w:val="multilevel"/>
    <w:tmpl w:val="CEB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9E77F6"/>
    <w:multiLevelType w:val="hybridMultilevel"/>
    <w:tmpl w:val="7480ED96"/>
    <w:lvl w:ilvl="0" w:tplc="39141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BA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8799">
    <w:abstractNumId w:val="0"/>
  </w:num>
  <w:num w:numId="2" w16cid:durableId="177328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C5"/>
    <w:rsid w:val="000645C8"/>
    <w:rsid w:val="000E2185"/>
    <w:rsid w:val="00112290"/>
    <w:rsid w:val="00121CD6"/>
    <w:rsid w:val="00156784"/>
    <w:rsid w:val="00195185"/>
    <w:rsid w:val="001E1B0F"/>
    <w:rsid w:val="001F06A4"/>
    <w:rsid w:val="00206087"/>
    <w:rsid w:val="002336BC"/>
    <w:rsid w:val="002434A0"/>
    <w:rsid w:val="00254B85"/>
    <w:rsid w:val="00285422"/>
    <w:rsid w:val="002A5E62"/>
    <w:rsid w:val="003214C2"/>
    <w:rsid w:val="00332AE5"/>
    <w:rsid w:val="00337955"/>
    <w:rsid w:val="004308E0"/>
    <w:rsid w:val="004A6D59"/>
    <w:rsid w:val="004C2AB1"/>
    <w:rsid w:val="004E358E"/>
    <w:rsid w:val="004E6234"/>
    <w:rsid w:val="004F69B8"/>
    <w:rsid w:val="00510E14"/>
    <w:rsid w:val="00563887"/>
    <w:rsid w:val="005A0F5A"/>
    <w:rsid w:val="00601EBD"/>
    <w:rsid w:val="00616711"/>
    <w:rsid w:val="006369C1"/>
    <w:rsid w:val="006423A2"/>
    <w:rsid w:val="00663111"/>
    <w:rsid w:val="00697A0B"/>
    <w:rsid w:val="006E79BD"/>
    <w:rsid w:val="007058D5"/>
    <w:rsid w:val="00766F1C"/>
    <w:rsid w:val="007C46EC"/>
    <w:rsid w:val="007E790A"/>
    <w:rsid w:val="008F7BDF"/>
    <w:rsid w:val="00907365"/>
    <w:rsid w:val="00922B8F"/>
    <w:rsid w:val="009460CA"/>
    <w:rsid w:val="00953E8F"/>
    <w:rsid w:val="0095697C"/>
    <w:rsid w:val="00971FCA"/>
    <w:rsid w:val="00A64A6E"/>
    <w:rsid w:val="00A950D2"/>
    <w:rsid w:val="00A96ED4"/>
    <w:rsid w:val="00AA3966"/>
    <w:rsid w:val="00B116C5"/>
    <w:rsid w:val="00BB14F2"/>
    <w:rsid w:val="00BD7032"/>
    <w:rsid w:val="00C752D4"/>
    <w:rsid w:val="00C8447B"/>
    <w:rsid w:val="00C946C5"/>
    <w:rsid w:val="00CB2760"/>
    <w:rsid w:val="00CC41E2"/>
    <w:rsid w:val="00D74C53"/>
    <w:rsid w:val="00DA7BAA"/>
    <w:rsid w:val="00E51F13"/>
    <w:rsid w:val="00F00DD4"/>
    <w:rsid w:val="00F2431A"/>
    <w:rsid w:val="00F31BD1"/>
    <w:rsid w:val="00F44AE4"/>
    <w:rsid w:val="00F9520A"/>
    <w:rsid w:val="00FC35E7"/>
    <w:rsid w:val="00FD0074"/>
    <w:rsid w:val="00FF0F1A"/>
    <w:rsid w:val="037801F0"/>
    <w:rsid w:val="07896946"/>
    <w:rsid w:val="07AECF7D"/>
    <w:rsid w:val="09E8BF1F"/>
    <w:rsid w:val="0AC0F59D"/>
    <w:rsid w:val="0ACA9A72"/>
    <w:rsid w:val="0B614567"/>
    <w:rsid w:val="0C3FC1FC"/>
    <w:rsid w:val="0D46C205"/>
    <w:rsid w:val="0D53426D"/>
    <w:rsid w:val="14213F22"/>
    <w:rsid w:val="1668D512"/>
    <w:rsid w:val="16A997FC"/>
    <w:rsid w:val="17E2EE33"/>
    <w:rsid w:val="1B185D44"/>
    <w:rsid w:val="1C2C3D0A"/>
    <w:rsid w:val="1C97E24E"/>
    <w:rsid w:val="1D915B31"/>
    <w:rsid w:val="1E71D598"/>
    <w:rsid w:val="22153408"/>
    <w:rsid w:val="2246FB82"/>
    <w:rsid w:val="254CCC70"/>
    <w:rsid w:val="25EDF581"/>
    <w:rsid w:val="265B59AF"/>
    <w:rsid w:val="274F683D"/>
    <w:rsid w:val="29509B9F"/>
    <w:rsid w:val="2BBB90AB"/>
    <w:rsid w:val="3137B47A"/>
    <w:rsid w:val="313C16F5"/>
    <w:rsid w:val="35F7D6C8"/>
    <w:rsid w:val="3619D20B"/>
    <w:rsid w:val="36205269"/>
    <w:rsid w:val="36F4C7B0"/>
    <w:rsid w:val="38F1FEBB"/>
    <w:rsid w:val="3BDCA4B3"/>
    <w:rsid w:val="3DD62DC4"/>
    <w:rsid w:val="3E6CBC53"/>
    <w:rsid w:val="3FBA6E61"/>
    <w:rsid w:val="40CDFC2B"/>
    <w:rsid w:val="42965B23"/>
    <w:rsid w:val="43DE09EC"/>
    <w:rsid w:val="4434BCED"/>
    <w:rsid w:val="48B51573"/>
    <w:rsid w:val="49889F79"/>
    <w:rsid w:val="49E96E3A"/>
    <w:rsid w:val="4A46876B"/>
    <w:rsid w:val="4EB43752"/>
    <w:rsid w:val="4EBCC3CC"/>
    <w:rsid w:val="518F3038"/>
    <w:rsid w:val="5234FBCD"/>
    <w:rsid w:val="52FFAF26"/>
    <w:rsid w:val="53B61562"/>
    <w:rsid w:val="53BD12CD"/>
    <w:rsid w:val="53C16851"/>
    <w:rsid w:val="54C21AE1"/>
    <w:rsid w:val="55A69314"/>
    <w:rsid w:val="5682A1EB"/>
    <w:rsid w:val="56D452E1"/>
    <w:rsid w:val="581F85DE"/>
    <w:rsid w:val="58E69078"/>
    <w:rsid w:val="59819AE3"/>
    <w:rsid w:val="5A3D9E0E"/>
    <w:rsid w:val="5B98FE8C"/>
    <w:rsid w:val="5E162D61"/>
    <w:rsid w:val="5FDC9DE2"/>
    <w:rsid w:val="612C4BDC"/>
    <w:rsid w:val="61BDE303"/>
    <w:rsid w:val="62D1D579"/>
    <w:rsid w:val="655A09A5"/>
    <w:rsid w:val="65782AD0"/>
    <w:rsid w:val="66884E9A"/>
    <w:rsid w:val="69E75702"/>
    <w:rsid w:val="6D651D5B"/>
    <w:rsid w:val="6F3BB3F2"/>
    <w:rsid w:val="71BC5560"/>
    <w:rsid w:val="7864F0B0"/>
    <w:rsid w:val="78A67DCC"/>
    <w:rsid w:val="7A72AE96"/>
    <w:rsid w:val="7B17B366"/>
    <w:rsid w:val="7C167684"/>
    <w:rsid w:val="7E73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0D99"/>
  <w15:chartTrackingRefBased/>
  <w15:docId w15:val="{79B6385A-6D5A-4E5D-9FFD-2CD2352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BAA"/>
  </w:style>
  <w:style w:type="paragraph" w:styleId="Nadpis1">
    <w:name w:val="heading 1"/>
    <w:basedOn w:val="Normln"/>
    <w:next w:val="Normln"/>
    <w:link w:val="Nadpis1Char"/>
    <w:uiPriority w:val="9"/>
    <w:qFormat/>
    <w:rsid w:val="00C9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6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6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6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6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6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46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6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46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6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6C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447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47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1671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browser/explore/all/envir?sort=category&amp;lang=en&amp;subtheme=nrg.nrg_price&amp;display=list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rostat/web/products-eurostat-news/w/ddn-20251029-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rostat/statistics-explained/index.php?title=Electricity_price_statistics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c.europa.eu/eurostat/web/products-eurostat-news/w/ddn-20251029-2" TargetMode="External"/><Relationship Id="rId14" Type="http://schemas.openxmlformats.org/officeDocument/2006/relationships/hyperlink" Target="https://ec.europa.eu/eurostat/statistics-explained/index.php?title=Natural_gas_price_statisti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43cf6-0c91-42ed-b90f-5b32c4954586" xsi:nil="true"/>
    <lcf76f155ced4ddcb4097134ff3c332f xmlns="520e649a-a910-464d-9f55-bdda810537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25CCACEDF24F957583177A9555AE" ma:contentTypeVersion="10" ma:contentTypeDescription="Vytvoří nový dokument" ma:contentTypeScope="" ma:versionID="e99a973e904bdadeded4aa48c5abd71b">
  <xsd:schema xmlns:xsd="http://www.w3.org/2001/XMLSchema" xmlns:xs="http://www.w3.org/2001/XMLSchema" xmlns:p="http://schemas.microsoft.com/office/2006/metadata/properties" xmlns:ns2="520e649a-a910-464d-9f55-bdda810537f0" xmlns:ns3="1ab43cf6-0c91-42ed-b90f-5b32c4954586" targetNamespace="http://schemas.microsoft.com/office/2006/metadata/properties" ma:root="true" ma:fieldsID="f46d1ab5d9db50aa904bdd1297b9d9b3" ns2:_="" ns3:_="">
    <xsd:import namespace="520e649a-a910-464d-9f55-bdda810537f0"/>
    <xsd:import namespace="1ab43cf6-0c91-42ed-b90f-5b32c4954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e649a-a910-464d-9f55-bdda8105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b5a70de-1b8c-449d-829c-fa6136666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3cf6-0c91-42ed-b90f-5b32c49545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873c81-dd8d-495c-ac0c-a93e7856b797}" ma:internalName="TaxCatchAll" ma:showField="CatchAllData" ma:web="1ab43cf6-0c91-42ed-b90f-5b32c4954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6FED7-6443-4605-8571-D161EABD6CF0}">
  <ds:schemaRefs>
    <ds:schemaRef ds:uri="http://schemas.microsoft.com/office/2006/metadata/properties"/>
    <ds:schemaRef ds:uri="http://schemas.microsoft.com/office/infopath/2007/PartnerControls"/>
    <ds:schemaRef ds:uri="1ab43cf6-0c91-42ed-b90f-5b32c4954586"/>
    <ds:schemaRef ds:uri="520e649a-a910-464d-9f55-bdda810537f0"/>
  </ds:schemaRefs>
</ds:datastoreItem>
</file>

<file path=customXml/itemProps2.xml><?xml version="1.0" encoding="utf-8"?>
<ds:datastoreItem xmlns:ds="http://schemas.openxmlformats.org/officeDocument/2006/customXml" ds:itemID="{B696FEE7-73E7-4E76-AB46-0106DDF5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e649a-a910-464d-9f55-bdda810537f0"/>
    <ds:schemaRef ds:uri="1ab43cf6-0c91-42ed-b90f-5b32c495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6D464-BB20-42D8-83AC-1161B48CF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Links>
    <vt:vector size="30" baseType="variant">
      <vt:variant>
        <vt:i4>6488156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https://ec.europa.eu/eurostat/statistics-explained/index.php?title=Natural_gas_price_statistics</vt:lpwstr>
      </vt:variant>
      <vt:variant>
        <vt:lpwstr/>
      </vt:variant>
      <vt:variant>
        <vt:i4>4522048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https://ec.europa.eu/eurostat/web/products-eurostat-news/w/ddn-20251029-1</vt:lpwstr>
      </vt:variant>
      <vt:variant>
        <vt:lpwstr/>
      </vt:variant>
      <vt:variant>
        <vt:i4>8257661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https://ec.europa.eu/eurostat/statistics-explained/index.php?title=Electricity_price_statistics</vt:lpwstr>
      </vt:variant>
      <vt:variant>
        <vt:lpwstr/>
      </vt:variant>
      <vt:variant>
        <vt:i4>4522048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https://ec.europa.eu/eurostat/web/products-eurostat-news/w/ddn-20251029-2</vt:lpwstr>
      </vt:variant>
      <vt:variant>
        <vt:lpwstr/>
      </vt:variant>
      <vt:variant>
        <vt:i4>196723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https://ec.europa.eu/eurostat/databrowser/explore/all/envir?sort=category&amp;lang=en&amp;subtheme=nrg.nrg_price&amp;display=list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Kupčiha Tomáš</dc:creator>
  <cp:keywords/>
  <dc:description/>
  <cp:lastModifiedBy>Kupčiha Tomáš</cp:lastModifiedBy>
  <cp:revision>7</cp:revision>
  <dcterms:created xsi:type="dcterms:W3CDTF">2025-11-03T10:13:00Z</dcterms:created>
  <dcterms:modified xsi:type="dcterms:W3CDTF">2025-11-05T13:26:00Z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0x010100F1DE25CCACEDF24F957583177A9555AE</vt:lpwstr>
  </property>
  <property fmtid="{D5CDD505-2E9C-101B-9397-08002B2CF9AE}" pid="3" name="MediaServiceImageTags">
    <vt:lpwstr/>
  </property>
</Properties>
</file>